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A0"/>
      </w:tblPr>
      <w:tblGrid>
        <w:gridCol w:w="2127"/>
        <w:gridCol w:w="5812"/>
        <w:gridCol w:w="2069"/>
      </w:tblGrid>
      <w:tr w:rsidR="002F7302" w:rsidRPr="00F66AF2" w:rsidTr="00626C6C">
        <w:tc>
          <w:tcPr>
            <w:tcW w:w="2127" w:type="dxa"/>
          </w:tcPr>
          <w:p w:rsidR="002F7302" w:rsidRPr="00F66AF2" w:rsidRDefault="002F7302" w:rsidP="00060CF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bookmarkStart w:id="0" w:name="_Toc157920217"/>
            <w:bookmarkStart w:id="1" w:name="_Toc159211904"/>
            <w:bookmarkStart w:id="2" w:name="_Toc159212660"/>
            <w:bookmarkStart w:id="3" w:name="_Toc159212879"/>
            <w:bookmarkStart w:id="4" w:name="_Toc159213195"/>
            <w:r>
              <w:rPr>
                <w:b/>
                <w:bCs/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1033483" cy="627321"/>
                  <wp:effectExtent l="19050" t="0" r="0" b="0"/>
                  <wp:docPr id="4" name="Picture 19" descr="EU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U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31" cy="621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</w:tcPr>
          <w:p w:rsidR="002F7302" w:rsidRPr="004D69C3" w:rsidRDefault="002F7302" w:rsidP="00060CFF">
            <w:pPr>
              <w:spacing w:after="0"/>
              <w:ind w:left="-250" w:firstLine="250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D1EC0" w:rsidRPr="004D69C3" w:rsidRDefault="0019333D" w:rsidP="0019333D">
            <w:pPr>
              <w:tabs>
                <w:tab w:val="left" w:pos="945"/>
                <w:tab w:val="center" w:pos="2798"/>
              </w:tabs>
              <w:spacing w:after="0"/>
              <w:ind w:left="-250" w:firstLine="250"/>
              <w:jc w:val="left"/>
              <w:rPr>
                <w:b/>
                <w:bCs/>
                <w:i/>
                <w:noProof/>
                <w:sz w:val="24"/>
                <w:szCs w:val="24"/>
                <w:lang w:eastAsia="en-GB"/>
              </w:rPr>
            </w:pPr>
            <w:r w:rsidRPr="004D69C3">
              <w:rPr>
                <w:b/>
                <w:bCs/>
                <w:i/>
                <w:sz w:val="24"/>
                <w:szCs w:val="24"/>
              </w:rPr>
              <w:tab/>
            </w:r>
          </w:p>
          <w:p w:rsidR="00BD1EC0" w:rsidRPr="004D69C3" w:rsidRDefault="00BD1EC0" w:rsidP="0019333D">
            <w:pPr>
              <w:tabs>
                <w:tab w:val="left" w:pos="945"/>
                <w:tab w:val="center" w:pos="2798"/>
              </w:tabs>
              <w:spacing w:after="0"/>
              <w:ind w:left="-250" w:firstLine="250"/>
              <w:jc w:val="left"/>
              <w:rPr>
                <w:b/>
                <w:bCs/>
                <w:i/>
                <w:noProof/>
                <w:sz w:val="24"/>
                <w:szCs w:val="24"/>
                <w:lang w:eastAsia="en-GB"/>
              </w:rPr>
            </w:pPr>
          </w:p>
          <w:p w:rsidR="00BD1EC0" w:rsidRPr="004D69C3" w:rsidRDefault="00BD1EC0" w:rsidP="0019333D">
            <w:pPr>
              <w:tabs>
                <w:tab w:val="left" w:pos="945"/>
                <w:tab w:val="center" w:pos="2798"/>
              </w:tabs>
              <w:spacing w:after="0"/>
              <w:ind w:left="-250" w:firstLine="250"/>
              <w:jc w:val="left"/>
              <w:rPr>
                <w:b/>
                <w:bCs/>
                <w:i/>
                <w:noProof/>
                <w:sz w:val="24"/>
                <w:szCs w:val="24"/>
                <w:lang w:eastAsia="en-GB"/>
              </w:rPr>
            </w:pPr>
          </w:p>
          <w:p w:rsidR="002F7302" w:rsidRPr="004D69C3" w:rsidRDefault="002F7302" w:rsidP="0019333D">
            <w:pPr>
              <w:tabs>
                <w:tab w:val="left" w:pos="945"/>
                <w:tab w:val="center" w:pos="2798"/>
              </w:tabs>
              <w:spacing w:after="0"/>
              <w:ind w:left="-250" w:firstLine="250"/>
              <w:jc w:val="left"/>
              <w:rPr>
                <w:b/>
                <w:bCs/>
                <w:i/>
                <w:sz w:val="24"/>
                <w:szCs w:val="24"/>
              </w:rPr>
            </w:pPr>
          </w:p>
          <w:p w:rsidR="002F7302" w:rsidRPr="004D69C3" w:rsidRDefault="002F7302" w:rsidP="00060CFF">
            <w:pPr>
              <w:spacing w:after="0"/>
              <w:ind w:left="-250" w:firstLine="250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2F7302" w:rsidRPr="004D69C3" w:rsidRDefault="002F7302" w:rsidP="00060CFF">
            <w:pPr>
              <w:spacing w:after="0"/>
              <w:ind w:left="-250" w:firstLine="25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D69C3">
              <w:rPr>
                <w:b/>
                <w:bCs/>
                <w:i/>
                <w:sz w:val="24"/>
                <w:szCs w:val="24"/>
              </w:rPr>
              <w:t>European Union</w:t>
            </w:r>
            <w:r w:rsidRPr="004D69C3">
              <w:rPr>
                <w:b/>
                <w:bCs/>
                <w:i/>
                <w:sz w:val="24"/>
                <w:szCs w:val="24"/>
              </w:rPr>
              <w:br/>
              <w:t xml:space="preserve">Instrument for Pre-accession Assistance </w:t>
            </w:r>
          </w:p>
          <w:p w:rsidR="002F7302" w:rsidRPr="004D69C3" w:rsidRDefault="0019333D" w:rsidP="00060CFF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4D69C3">
              <w:rPr>
                <w:b/>
                <w:i/>
                <w:sz w:val="24"/>
                <w:szCs w:val="24"/>
              </w:rPr>
              <w:t xml:space="preserve">For </w:t>
            </w:r>
            <w:r w:rsidRPr="004D69C3">
              <w:rPr>
                <w:b/>
                <w:i/>
                <w:sz w:val="24"/>
                <w:szCs w:val="24"/>
              </w:rPr>
              <w:br/>
              <w:t>Rural Development – IPARD II</w:t>
            </w:r>
          </w:p>
          <w:p w:rsidR="002F7302" w:rsidRPr="004D69C3" w:rsidRDefault="002F7302" w:rsidP="00060CFF">
            <w:pPr>
              <w:spacing w:after="0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</w:p>
          <w:p w:rsidR="002F7302" w:rsidRPr="004D69C3" w:rsidRDefault="002F7302" w:rsidP="00060CFF">
            <w:pPr>
              <w:spacing w:after="0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</w:p>
          <w:p w:rsidR="002F7302" w:rsidRPr="004D69C3" w:rsidRDefault="002F7302" w:rsidP="00060CFF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69" w:type="dxa"/>
          </w:tcPr>
          <w:p w:rsidR="002F7302" w:rsidRPr="00F66AF2" w:rsidRDefault="009C3949" w:rsidP="00060CF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561975" cy="683270"/>
                  <wp:effectExtent l="19050" t="0" r="9525" b="0"/>
                  <wp:docPr id="2" name="Picture 23" descr="show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how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02" w:rsidRPr="00F66AF2" w:rsidTr="00626C6C">
        <w:tc>
          <w:tcPr>
            <w:tcW w:w="2127" w:type="dxa"/>
          </w:tcPr>
          <w:p w:rsidR="002F7302" w:rsidRPr="00F66AF2" w:rsidRDefault="002F7302" w:rsidP="00060CF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2F7302" w:rsidRPr="004D69C3" w:rsidRDefault="002F7302" w:rsidP="00060CFF">
            <w:pPr>
              <w:spacing w:after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69" w:type="dxa"/>
          </w:tcPr>
          <w:p w:rsidR="002F7302" w:rsidRPr="00F66AF2" w:rsidRDefault="002F7302" w:rsidP="00060CFF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F7302" w:rsidRPr="00C8642A" w:rsidTr="00626C6C">
        <w:tc>
          <w:tcPr>
            <w:tcW w:w="2127" w:type="dxa"/>
          </w:tcPr>
          <w:p w:rsidR="002F7302" w:rsidRPr="00F66AF2" w:rsidRDefault="002F7302" w:rsidP="00060CF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2F7302" w:rsidRPr="004D69C3" w:rsidRDefault="002F7302" w:rsidP="00060CFF">
            <w:pPr>
              <w:spacing w:after="0"/>
              <w:jc w:val="center"/>
              <w:rPr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069" w:type="dxa"/>
          </w:tcPr>
          <w:p w:rsidR="002F7302" w:rsidRDefault="002F7302" w:rsidP="00060CFF">
            <w:pPr>
              <w:spacing w:after="0"/>
              <w:rPr>
                <w:b/>
                <w:bCs/>
                <w:sz w:val="24"/>
                <w:szCs w:val="24"/>
                <w:lang w:val="de-DE"/>
              </w:rPr>
            </w:pPr>
          </w:p>
          <w:p w:rsidR="002F7302" w:rsidRDefault="002F7302" w:rsidP="00060CFF">
            <w:pPr>
              <w:spacing w:after="0"/>
              <w:rPr>
                <w:b/>
                <w:bCs/>
                <w:sz w:val="24"/>
                <w:szCs w:val="24"/>
                <w:lang w:val="de-DE"/>
              </w:rPr>
            </w:pPr>
          </w:p>
          <w:p w:rsidR="002F7302" w:rsidRPr="00C8642A" w:rsidRDefault="002F7302" w:rsidP="006D2088">
            <w:pPr>
              <w:spacing w:after="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bookmarkEnd w:id="0"/>
    <w:bookmarkEnd w:id="1"/>
    <w:bookmarkEnd w:id="2"/>
    <w:bookmarkEnd w:id="3"/>
    <w:bookmarkEnd w:id="4"/>
    <w:p w:rsidR="002F7302" w:rsidRPr="00AF7DE4" w:rsidRDefault="00AF7DE4" w:rsidP="00060CFF">
      <w:pPr>
        <w:spacing w:after="0"/>
        <w:jc w:val="center"/>
        <w:rPr>
          <w:b/>
        </w:rPr>
      </w:pPr>
      <w:r w:rsidRPr="00AF7DE4">
        <w:rPr>
          <w:b/>
        </w:rPr>
        <w:t>FORECAST NOTICE</w:t>
      </w:r>
    </w:p>
    <w:p w:rsidR="002F7302" w:rsidRPr="006D2088" w:rsidRDefault="002F7302" w:rsidP="00060CFF">
      <w:pPr>
        <w:spacing w:after="0"/>
        <w:jc w:val="center"/>
        <w:rPr>
          <w:b/>
          <w:sz w:val="24"/>
          <w:szCs w:val="24"/>
          <w:lang w:val="en-US"/>
        </w:rPr>
      </w:pPr>
      <w:r w:rsidRPr="00AF7DE4">
        <w:rPr>
          <w:b/>
          <w:sz w:val="24"/>
          <w:szCs w:val="24"/>
        </w:rPr>
        <w:t>FIRST CALL FOR APPLICATION</w:t>
      </w:r>
      <w:r w:rsidR="0019333D" w:rsidRPr="00AF7DE4">
        <w:rPr>
          <w:b/>
          <w:sz w:val="24"/>
          <w:szCs w:val="24"/>
          <w:lang w:val="en-US"/>
        </w:rPr>
        <w:t>No</w:t>
      </w:r>
      <w:r w:rsidR="0019333D">
        <w:rPr>
          <w:b/>
          <w:sz w:val="24"/>
          <w:szCs w:val="24"/>
          <w:lang w:val="en-US"/>
        </w:rPr>
        <w:t>. 01/201</w:t>
      </w:r>
      <w:r w:rsidR="001E5F40">
        <w:rPr>
          <w:b/>
          <w:sz w:val="24"/>
          <w:szCs w:val="24"/>
          <w:lang w:val="en-US"/>
        </w:rPr>
        <w:t>8</w:t>
      </w:r>
    </w:p>
    <w:p w:rsidR="002F7302" w:rsidRDefault="0019333D" w:rsidP="00060CFF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Under the IPARD II </w:t>
      </w:r>
      <w:proofErr w:type="spellStart"/>
      <w:r>
        <w:rPr>
          <w:b/>
          <w:sz w:val="24"/>
          <w:szCs w:val="24"/>
          <w:lang w:val="en-US"/>
        </w:rPr>
        <w:t>Programme</w:t>
      </w:r>
      <w:proofErr w:type="spellEnd"/>
    </w:p>
    <w:p w:rsidR="0019333D" w:rsidRPr="006D2088" w:rsidRDefault="0019333D" w:rsidP="00060CFF">
      <w:pPr>
        <w:spacing w:after="0"/>
        <w:jc w:val="center"/>
        <w:rPr>
          <w:b/>
          <w:sz w:val="24"/>
          <w:szCs w:val="24"/>
          <w:lang w:val="en-US"/>
        </w:rPr>
      </w:pPr>
    </w:p>
    <w:p w:rsidR="002F7302" w:rsidRPr="006D2088" w:rsidRDefault="002F7302" w:rsidP="00060CFF">
      <w:pPr>
        <w:spacing w:after="0"/>
        <w:rPr>
          <w:sz w:val="24"/>
          <w:szCs w:val="24"/>
          <w:lang w:val="en-US"/>
        </w:rPr>
      </w:pPr>
      <w:r w:rsidRPr="009F3B36">
        <w:rPr>
          <w:sz w:val="24"/>
          <w:szCs w:val="24"/>
        </w:rPr>
        <w:t xml:space="preserve">Agriculture and Rural Development Agency of Albania </w:t>
      </w:r>
      <w:r w:rsidRPr="006D2088">
        <w:rPr>
          <w:sz w:val="24"/>
          <w:szCs w:val="24"/>
          <w:lang w:val="en-US"/>
        </w:rPr>
        <w:t xml:space="preserve">is announcing the First Call for Application under the </w:t>
      </w:r>
      <w:r w:rsidR="0019333D">
        <w:rPr>
          <w:sz w:val="24"/>
          <w:szCs w:val="24"/>
          <w:lang w:val="en-US"/>
        </w:rPr>
        <w:t xml:space="preserve">IPARD II </w:t>
      </w:r>
      <w:proofErr w:type="spellStart"/>
      <w:r w:rsidR="0019333D">
        <w:rPr>
          <w:sz w:val="24"/>
          <w:szCs w:val="24"/>
          <w:lang w:val="en-US"/>
        </w:rPr>
        <w:t>Programme</w:t>
      </w:r>
      <w:r w:rsidRPr="006D2088">
        <w:rPr>
          <w:sz w:val="24"/>
          <w:szCs w:val="24"/>
          <w:lang w:val="en-US"/>
        </w:rPr>
        <w:t>from</w:t>
      </w:r>
      <w:proofErr w:type="spellEnd"/>
      <w:r w:rsidRPr="006D2088">
        <w:rPr>
          <w:sz w:val="24"/>
          <w:szCs w:val="24"/>
          <w:lang w:val="en-US"/>
        </w:rPr>
        <w:t xml:space="preserve"> the Instrument for Pre-Accession Assistance (IPA) for R</w:t>
      </w:r>
      <w:bookmarkStart w:id="5" w:name="_GoBack"/>
      <w:bookmarkEnd w:id="5"/>
      <w:r w:rsidRPr="006D2088">
        <w:rPr>
          <w:sz w:val="24"/>
          <w:szCs w:val="24"/>
          <w:lang w:val="en-US"/>
        </w:rPr>
        <w:t>ural Development (</w:t>
      </w:r>
      <w:r w:rsidR="001E5F40">
        <w:rPr>
          <w:sz w:val="24"/>
          <w:szCs w:val="24"/>
          <w:lang w:val="en-US"/>
        </w:rPr>
        <w:t>I</w:t>
      </w:r>
      <w:r w:rsidRPr="006D2088">
        <w:rPr>
          <w:sz w:val="24"/>
          <w:szCs w:val="24"/>
          <w:lang w:val="en-US"/>
        </w:rPr>
        <w:t>PARD) with the aim of approving Grants to Agro Food Sector.</w:t>
      </w:r>
    </w:p>
    <w:p w:rsidR="00060CFF" w:rsidRPr="006D2088" w:rsidRDefault="00060CFF" w:rsidP="00060CFF">
      <w:pPr>
        <w:spacing w:after="0"/>
        <w:rPr>
          <w:sz w:val="24"/>
          <w:szCs w:val="24"/>
          <w:lang w:val="en-US"/>
        </w:rPr>
      </w:pPr>
    </w:p>
    <w:p w:rsidR="002F7302" w:rsidRPr="006D2088" w:rsidRDefault="002F7302" w:rsidP="00060CFF">
      <w:pPr>
        <w:spacing w:after="0"/>
        <w:rPr>
          <w:sz w:val="24"/>
          <w:szCs w:val="24"/>
          <w:lang w:val="en-US"/>
        </w:rPr>
      </w:pPr>
      <w:r w:rsidRPr="006D2088">
        <w:rPr>
          <w:sz w:val="24"/>
          <w:szCs w:val="24"/>
          <w:lang w:val="en-US"/>
        </w:rPr>
        <w:t xml:space="preserve">The Call is opened for all citizens (natural and legal persons) of Albania who work and operate in the </w:t>
      </w:r>
      <w:r w:rsidR="006D2088" w:rsidRPr="006D2088">
        <w:rPr>
          <w:sz w:val="24"/>
          <w:szCs w:val="24"/>
          <w:lang w:val="en-US"/>
        </w:rPr>
        <w:t>territory</w:t>
      </w:r>
      <w:r w:rsidRPr="006D2088">
        <w:rPr>
          <w:sz w:val="24"/>
          <w:szCs w:val="24"/>
          <w:lang w:val="en-US"/>
        </w:rPr>
        <w:t xml:space="preserve"> of the Republic of Albania in the area of agriculture and rural development with special focus on the following Measures for which applications can be </w:t>
      </w:r>
      <w:r w:rsidR="006D2088" w:rsidRPr="006D2088">
        <w:rPr>
          <w:sz w:val="24"/>
          <w:szCs w:val="24"/>
          <w:lang w:val="en-US"/>
        </w:rPr>
        <w:t>submitted</w:t>
      </w:r>
      <w:r w:rsidRPr="006D2088">
        <w:rPr>
          <w:sz w:val="24"/>
          <w:szCs w:val="24"/>
          <w:lang w:val="en-US"/>
        </w:rPr>
        <w:t>:</w:t>
      </w:r>
    </w:p>
    <w:p w:rsidR="0019333D" w:rsidRDefault="0019333D" w:rsidP="00060CFF">
      <w:pPr>
        <w:spacing w:after="0"/>
        <w:rPr>
          <w:sz w:val="24"/>
          <w:szCs w:val="24"/>
          <w:lang w:val="en-US"/>
        </w:rPr>
      </w:pPr>
    </w:p>
    <w:p w:rsidR="002F7302" w:rsidRPr="006D2088" w:rsidRDefault="00EB5A5D" w:rsidP="00060CFF">
      <w:pPr>
        <w:spacing w:after="0"/>
        <w:rPr>
          <w:sz w:val="24"/>
          <w:szCs w:val="24"/>
          <w:lang w:val="en-US"/>
        </w:rPr>
      </w:pPr>
      <w:r w:rsidRPr="00EB5A5D">
        <w:rPr>
          <w:b/>
          <w:sz w:val="24"/>
          <w:szCs w:val="24"/>
          <w:lang w:val="en-US"/>
        </w:rPr>
        <w:t>Measure 1</w:t>
      </w:r>
      <w:r>
        <w:rPr>
          <w:sz w:val="24"/>
          <w:szCs w:val="24"/>
          <w:lang w:val="en-US"/>
        </w:rPr>
        <w:t>: “</w:t>
      </w:r>
      <w:r w:rsidR="0019333D" w:rsidRPr="0019333D">
        <w:rPr>
          <w:sz w:val="24"/>
          <w:szCs w:val="24"/>
          <w:lang w:val="en-US"/>
        </w:rPr>
        <w:t xml:space="preserve">Investments in physical </w:t>
      </w:r>
      <w:r>
        <w:rPr>
          <w:sz w:val="24"/>
          <w:szCs w:val="24"/>
          <w:lang w:val="en-US"/>
        </w:rPr>
        <w:t>assets of agricultural holdings”</w:t>
      </w:r>
      <w:r w:rsidR="002F7302" w:rsidRPr="006D2088">
        <w:rPr>
          <w:sz w:val="24"/>
          <w:szCs w:val="24"/>
          <w:lang w:val="en-US"/>
        </w:rPr>
        <w:t xml:space="preserve"> with special focus on the following sectors:</w:t>
      </w:r>
    </w:p>
    <w:p w:rsidR="002F7302" w:rsidRPr="00EB5A5D" w:rsidRDefault="00EB5A5D" w:rsidP="00EB5A5D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 w:rsidRPr="00EB5A5D">
        <w:rPr>
          <w:sz w:val="24"/>
          <w:szCs w:val="24"/>
          <w:lang w:val="de-DE"/>
        </w:rPr>
        <w:t>Milk</w:t>
      </w:r>
    </w:p>
    <w:p w:rsidR="002F7302" w:rsidRPr="00EB5A5D" w:rsidRDefault="00EB5A5D" w:rsidP="00EB5A5D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 w:rsidRPr="00EB5A5D">
        <w:rPr>
          <w:sz w:val="24"/>
          <w:szCs w:val="24"/>
          <w:lang w:val="de-DE"/>
        </w:rPr>
        <w:t>Meat</w:t>
      </w:r>
    </w:p>
    <w:p w:rsidR="002F7302" w:rsidRPr="00EB5A5D" w:rsidRDefault="002F7302" w:rsidP="00EB5A5D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 w:rsidRPr="00EB5A5D">
        <w:rPr>
          <w:sz w:val="24"/>
          <w:szCs w:val="24"/>
          <w:lang w:val="de-DE"/>
        </w:rPr>
        <w:t xml:space="preserve">Fruit </w:t>
      </w:r>
    </w:p>
    <w:p w:rsidR="002F7302" w:rsidRPr="00EB5A5D" w:rsidRDefault="002F7302" w:rsidP="00EB5A5D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 w:rsidRPr="00EB5A5D">
        <w:rPr>
          <w:sz w:val="24"/>
          <w:szCs w:val="24"/>
          <w:lang w:val="de-DE"/>
        </w:rPr>
        <w:t xml:space="preserve">Vegetables </w:t>
      </w:r>
    </w:p>
    <w:p w:rsidR="005F66D1" w:rsidRPr="00EB5A5D" w:rsidRDefault="005F66D1" w:rsidP="00EB5A5D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 w:rsidRPr="00EB5A5D">
        <w:rPr>
          <w:sz w:val="24"/>
          <w:szCs w:val="24"/>
          <w:lang w:val="de-DE"/>
        </w:rPr>
        <w:t>Grape</w:t>
      </w:r>
    </w:p>
    <w:p w:rsidR="0019333D" w:rsidRDefault="0019333D" w:rsidP="00060CFF">
      <w:pPr>
        <w:spacing w:after="0"/>
        <w:rPr>
          <w:sz w:val="24"/>
          <w:szCs w:val="24"/>
          <w:lang w:val="en-US"/>
        </w:rPr>
      </w:pPr>
    </w:p>
    <w:p w:rsidR="002F7302" w:rsidRPr="006D2088" w:rsidRDefault="0019333D" w:rsidP="00060CFF">
      <w:pPr>
        <w:spacing w:after="0"/>
        <w:rPr>
          <w:sz w:val="24"/>
          <w:szCs w:val="24"/>
          <w:lang w:val="en-US"/>
        </w:rPr>
      </w:pPr>
      <w:r w:rsidRPr="00EB5A5D">
        <w:rPr>
          <w:b/>
          <w:sz w:val="24"/>
          <w:szCs w:val="24"/>
          <w:lang w:val="en-US"/>
        </w:rPr>
        <w:t>Measure 3</w:t>
      </w:r>
      <w:r w:rsidR="00EB5A5D">
        <w:rPr>
          <w:sz w:val="24"/>
          <w:szCs w:val="24"/>
          <w:lang w:val="en-US"/>
        </w:rPr>
        <w:t>: “</w:t>
      </w:r>
      <w:r w:rsidR="002F7302" w:rsidRPr="006D2088">
        <w:rPr>
          <w:sz w:val="24"/>
          <w:szCs w:val="24"/>
          <w:lang w:val="en-US"/>
        </w:rPr>
        <w:t>Investments in Processing and Marketing of agriculture products</w:t>
      </w:r>
      <w:r w:rsidR="00EB5A5D">
        <w:rPr>
          <w:sz w:val="24"/>
          <w:szCs w:val="24"/>
          <w:lang w:val="en-US"/>
        </w:rPr>
        <w:t>”</w:t>
      </w:r>
      <w:r w:rsidR="002F7302" w:rsidRPr="006D2088">
        <w:rPr>
          <w:sz w:val="24"/>
          <w:szCs w:val="24"/>
          <w:lang w:val="en-US"/>
        </w:rPr>
        <w:t xml:space="preserve"> with special focus on the following sectors:</w:t>
      </w:r>
    </w:p>
    <w:p w:rsidR="00EB5A5D" w:rsidRPr="00EB5A5D" w:rsidRDefault="002F7302" w:rsidP="00EB5A5D">
      <w:pPr>
        <w:pStyle w:val="Paragrafoelenco"/>
        <w:numPr>
          <w:ilvl w:val="0"/>
          <w:numId w:val="5"/>
        </w:numPr>
        <w:spacing w:after="0"/>
        <w:rPr>
          <w:sz w:val="24"/>
          <w:szCs w:val="24"/>
          <w:lang w:val="de-DE"/>
        </w:rPr>
      </w:pPr>
      <w:r w:rsidRPr="00EB5A5D">
        <w:rPr>
          <w:sz w:val="24"/>
          <w:szCs w:val="24"/>
          <w:lang w:val="de-DE"/>
        </w:rPr>
        <w:t>Milk and dairy processing</w:t>
      </w:r>
    </w:p>
    <w:p w:rsidR="002F7302" w:rsidRPr="00EB5A5D" w:rsidRDefault="00EB5A5D" w:rsidP="00EB5A5D">
      <w:pPr>
        <w:pStyle w:val="Paragrafoelenco"/>
        <w:numPr>
          <w:ilvl w:val="0"/>
          <w:numId w:val="5"/>
        </w:numPr>
        <w:spacing w:after="0"/>
        <w:rPr>
          <w:sz w:val="24"/>
          <w:szCs w:val="24"/>
          <w:lang w:val="de-DE"/>
        </w:rPr>
      </w:pPr>
      <w:r w:rsidRPr="00EB5A5D">
        <w:rPr>
          <w:sz w:val="24"/>
          <w:szCs w:val="24"/>
          <w:lang w:val="de-DE"/>
        </w:rPr>
        <w:t>Meat processing</w:t>
      </w:r>
    </w:p>
    <w:p w:rsidR="002F7302" w:rsidRPr="00EB5A5D" w:rsidRDefault="002F7302" w:rsidP="00EB5A5D">
      <w:pPr>
        <w:pStyle w:val="Paragrafoelenco"/>
        <w:numPr>
          <w:ilvl w:val="0"/>
          <w:numId w:val="5"/>
        </w:numPr>
        <w:spacing w:after="0"/>
        <w:rPr>
          <w:sz w:val="24"/>
          <w:szCs w:val="24"/>
          <w:lang w:val="de-DE"/>
        </w:rPr>
      </w:pPr>
      <w:r w:rsidRPr="00EB5A5D">
        <w:rPr>
          <w:sz w:val="24"/>
          <w:szCs w:val="24"/>
          <w:lang w:val="de-DE"/>
        </w:rPr>
        <w:t>Fruit and vegetable processing</w:t>
      </w:r>
    </w:p>
    <w:p w:rsidR="005F66D1" w:rsidRPr="00EB5A5D" w:rsidRDefault="005F66D1" w:rsidP="00EB5A5D">
      <w:pPr>
        <w:pStyle w:val="Paragrafoelenco"/>
        <w:numPr>
          <w:ilvl w:val="0"/>
          <w:numId w:val="5"/>
        </w:numPr>
        <w:spacing w:after="0"/>
        <w:rPr>
          <w:sz w:val="24"/>
          <w:szCs w:val="24"/>
          <w:lang w:val="de-DE"/>
        </w:rPr>
      </w:pPr>
      <w:r w:rsidRPr="00EB5A5D">
        <w:rPr>
          <w:sz w:val="24"/>
          <w:szCs w:val="24"/>
          <w:lang w:val="de-DE"/>
        </w:rPr>
        <w:t>Wine</w:t>
      </w:r>
    </w:p>
    <w:p w:rsidR="00060CFF" w:rsidRDefault="00060CFF" w:rsidP="00060CFF">
      <w:pPr>
        <w:pStyle w:val="Paragrafoelenco"/>
        <w:spacing w:after="0"/>
        <w:rPr>
          <w:sz w:val="24"/>
          <w:szCs w:val="24"/>
          <w:lang w:val="de-DE"/>
        </w:rPr>
      </w:pPr>
    </w:p>
    <w:p w:rsidR="00EB5A5D" w:rsidRDefault="00EB5A5D" w:rsidP="00EB5A5D">
      <w:pPr>
        <w:spacing w:after="0"/>
        <w:rPr>
          <w:sz w:val="24"/>
          <w:szCs w:val="24"/>
          <w:lang w:val="en-US"/>
        </w:rPr>
      </w:pPr>
      <w:r w:rsidRPr="00EB5A5D">
        <w:rPr>
          <w:b/>
          <w:sz w:val="24"/>
          <w:szCs w:val="24"/>
          <w:lang w:val="en-US"/>
        </w:rPr>
        <w:t>Measure 7:</w:t>
      </w:r>
      <w:r w:rsidR="00905E54">
        <w:rPr>
          <w:sz w:val="24"/>
          <w:szCs w:val="24"/>
          <w:lang w:val="en-US"/>
        </w:rPr>
        <w:t>“</w:t>
      </w:r>
      <w:r w:rsidRPr="00EB5A5D">
        <w:rPr>
          <w:sz w:val="24"/>
          <w:szCs w:val="24"/>
          <w:lang w:val="en-US"/>
        </w:rPr>
        <w:t>Farm diversification and Business Development”</w:t>
      </w:r>
      <w:r w:rsidRPr="006D2088">
        <w:rPr>
          <w:sz w:val="24"/>
          <w:szCs w:val="24"/>
          <w:lang w:val="en-US"/>
        </w:rPr>
        <w:t>with special focus on the following sectors:</w:t>
      </w:r>
    </w:p>
    <w:p w:rsidR="00E84142" w:rsidRDefault="00E84142" w:rsidP="00EB5A5D">
      <w:pPr>
        <w:spacing w:after="0"/>
        <w:rPr>
          <w:sz w:val="24"/>
          <w:szCs w:val="24"/>
          <w:lang w:val="en-US"/>
        </w:rPr>
      </w:pPr>
    </w:p>
    <w:p w:rsidR="00E84142" w:rsidRPr="00862ECC" w:rsidRDefault="00E84142" w:rsidP="00AF7DE4">
      <w:pPr>
        <w:pStyle w:val="Paragrafoelenco"/>
        <w:numPr>
          <w:ilvl w:val="0"/>
          <w:numId w:val="6"/>
        </w:numPr>
        <w:spacing w:after="0"/>
      </w:pPr>
      <w:r w:rsidRPr="00862ECC">
        <w:t>Production of MAPs, mushrooms, honey, ornamental plants and snails;</w:t>
      </w:r>
    </w:p>
    <w:p w:rsidR="00E84142" w:rsidRPr="00862ECC" w:rsidRDefault="00E84142" w:rsidP="00AF7DE4">
      <w:pPr>
        <w:pStyle w:val="Paragrafoelenco"/>
        <w:numPr>
          <w:ilvl w:val="0"/>
          <w:numId w:val="6"/>
        </w:numPr>
        <w:spacing w:after="0"/>
      </w:pPr>
      <w:r w:rsidRPr="00862ECC">
        <w:lastRenderedPageBreak/>
        <w:t>Processing and marketing of wild or cultivated MAPs, mushrooms and honey;</w:t>
      </w:r>
    </w:p>
    <w:p w:rsidR="00E84142" w:rsidRPr="00862ECC" w:rsidRDefault="00E84142" w:rsidP="00AF7DE4">
      <w:pPr>
        <w:pStyle w:val="Paragrafoelenco"/>
        <w:numPr>
          <w:ilvl w:val="0"/>
          <w:numId w:val="6"/>
        </w:numPr>
        <w:spacing w:after="0"/>
      </w:pPr>
      <w:r w:rsidRPr="00862ECC">
        <w:t>On-farm processing and direct marketing of agricultural products;</w:t>
      </w:r>
    </w:p>
    <w:p w:rsidR="00E84142" w:rsidRPr="00862ECC" w:rsidRDefault="00E84142" w:rsidP="00AF7DE4">
      <w:pPr>
        <w:pStyle w:val="Paragrafoelenco"/>
        <w:numPr>
          <w:ilvl w:val="0"/>
          <w:numId w:val="6"/>
        </w:numPr>
        <w:spacing w:after="0"/>
      </w:pPr>
      <w:r w:rsidRPr="00862ECC">
        <w:t>Aquaculture;</w:t>
      </w:r>
    </w:p>
    <w:p w:rsidR="00E84142" w:rsidRPr="00862ECC" w:rsidRDefault="00E84142" w:rsidP="00AF7DE4">
      <w:pPr>
        <w:pStyle w:val="Paragrafoelenco"/>
        <w:numPr>
          <w:ilvl w:val="0"/>
          <w:numId w:val="6"/>
        </w:numPr>
        <w:spacing w:after="0"/>
      </w:pPr>
      <w:r w:rsidRPr="00862ECC">
        <w:t>Nature and rural tourism;</w:t>
      </w:r>
    </w:p>
    <w:p w:rsidR="00E84142" w:rsidRPr="00862ECC" w:rsidRDefault="00E84142" w:rsidP="00AF7DE4">
      <w:pPr>
        <w:pStyle w:val="Paragrafoelenco"/>
        <w:numPr>
          <w:ilvl w:val="0"/>
          <w:numId w:val="6"/>
        </w:numPr>
        <w:spacing w:after="0"/>
      </w:pPr>
      <w:r w:rsidRPr="00862ECC">
        <w:t>Services for rural business and population;</w:t>
      </w:r>
    </w:p>
    <w:p w:rsidR="00E84142" w:rsidRPr="00862ECC" w:rsidRDefault="00E84142" w:rsidP="00AF7DE4">
      <w:pPr>
        <w:pStyle w:val="Paragrafoelenco"/>
        <w:numPr>
          <w:ilvl w:val="0"/>
          <w:numId w:val="6"/>
        </w:numPr>
        <w:spacing w:after="0"/>
      </w:pPr>
      <w:r w:rsidRPr="00862ECC">
        <w:t>Handcrafts and manufacturing industry;</w:t>
      </w:r>
    </w:p>
    <w:p w:rsidR="00E84142" w:rsidRPr="00862ECC" w:rsidRDefault="00E84142" w:rsidP="00AF7DE4">
      <w:pPr>
        <w:pStyle w:val="Paragrafoelenco"/>
        <w:numPr>
          <w:ilvl w:val="0"/>
          <w:numId w:val="6"/>
        </w:numPr>
        <w:shd w:val="clear" w:color="auto" w:fill="FFFFFF"/>
        <w:spacing w:after="0"/>
      </w:pPr>
      <w:r w:rsidRPr="00862ECC">
        <w:t xml:space="preserve">Renewable energy production and use. </w:t>
      </w:r>
    </w:p>
    <w:p w:rsidR="0019333D" w:rsidRDefault="0019333D" w:rsidP="00060CFF">
      <w:pPr>
        <w:spacing w:after="0"/>
        <w:rPr>
          <w:sz w:val="24"/>
          <w:szCs w:val="24"/>
          <w:lang w:val="en-US"/>
        </w:rPr>
      </w:pPr>
    </w:p>
    <w:p w:rsidR="002F7302" w:rsidRPr="006D2088" w:rsidRDefault="002F7302" w:rsidP="00060CFF">
      <w:pPr>
        <w:spacing w:after="0"/>
        <w:rPr>
          <w:sz w:val="24"/>
          <w:szCs w:val="24"/>
          <w:lang w:val="en-US"/>
        </w:rPr>
      </w:pPr>
      <w:r w:rsidRPr="006D2088">
        <w:rPr>
          <w:sz w:val="24"/>
          <w:szCs w:val="24"/>
          <w:lang w:val="en-US"/>
        </w:rPr>
        <w:t xml:space="preserve">Under this call the indicative overall available budget is consisted of </w:t>
      </w:r>
      <w:r w:rsidR="004D404C">
        <w:rPr>
          <w:sz w:val="24"/>
          <w:szCs w:val="24"/>
          <w:lang w:val="en-US"/>
        </w:rPr>
        <w:t>50.3</w:t>
      </w:r>
      <w:r w:rsidR="004756FA">
        <w:rPr>
          <w:sz w:val="24"/>
          <w:szCs w:val="24"/>
          <w:lang w:val="en-US"/>
        </w:rPr>
        <w:t xml:space="preserve"> Mil</w:t>
      </w:r>
      <w:r w:rsidR="00E84142">
        <w:rPr>
          <w:sz w:val="24"/>
          <w:szCs w:val="24"/>
          <w:lang w:val="en-US"/>
        </w:rPr>
        <w:t>lionEUR</w:t>
      </w:r>
      <w:r w:rsidRPr="006D2088">
        <w:rPr>
          <w:sz w:val="24"/>
          <w:szCs w:val="24"/>
          <w:lang w:val="en-US"/>
        </w:rPr>
        <w:t xml:space="preserve"> public contribution out which </w:t>
      </w:r>
      <w:r w:rsidR="004D404C">
        <w:rPr>
          <w:sz w:val="24"/>
          <w:szCs w:val="24"/>
          <w:lang w:val="en-US"/>
        </w:rPr>
        <w:t>37.7</w:t>
      </w:r>
      <w:r w:rsidR="004756FA">
        <w:rPr>
          <w:sz w:val="24"/>
          <w:szCs w:val="24"/>
          <w:lang w:val="en-US"/>
        </w:rPr>
        <w:t xml:space="preserve"> Mil</w:t>
      </w:r>
      <w:r w:rsidR="00E84142">
        <w:rPr>
          <w:sz w:val="24"/>
          <w:szCs w:val="24"/>
          <w:lang w:val="en-US"/>
        </w:rPr>
        <w:t>lion EUR,</w:t>
      </w:r>
      <w:r w:rsidRPr="006D2088">
        <w:rPr>
          <w:sz w:val="24"/>
          <w:szCs w:val="24"/>
          <w:lang w:val="en-US"/>
        </w:rPr>
        <w:t xml:space="preserve"> as Community contribution representing 75% of the o</w:t>
      </w:r>
      <w:r w:rsidR="0019333D">
        <w:rPr>
          <w:sz w:val="24"/>
          <w:szCs w:val="24"/>
          <w:lang w:val="en-US"/>
        </w:rPr>
        <w:t xml:space="preserve">verall public contribution and </w:t>
      </w:r>
      <w:r w:rsidR="004D404C">
        <w:rPr>
          <w:sz w:val="24"/>
          <w:szCs w:val="24"/>
          <w:lang w:val="en-US"/>
        </w:rPr>
        <w:t>12.6</w:t>
      </w:r>
      <w:r w:rsidR="00E84142">
        <w:rPr>
          <w:sz w:val="24"/>
          <w:szCs w:val="24"/>
          <w:lang w:val="en-US"/>
        </w:rPr>
        <w:t xml:space="preserve"> Million</w:t>
      </w:r>
      <w:r w:rsidR="00905E54">
        <w:rPr>
          <w:sz w:val="24"/>
          <w:szCs w:val="24"/>
          <w:lang w:val="en-US"/>
        </w:rPr>
        <w:t>EUR</w:t>
      </w:r>
      <w:r w:rsidRPr="006D2088">
        <w:rPr>
          <w:sz w:val="24"/>
          <w:szCs w:val="24"/>
          <w:lang w:val="en-US"/>
        </w:rPr>
        <w:t xml:space="preserve"> as National contribution </w:t>
      </w:r>
      <w:r w:rsidR="006D2088" w:rsidRPr="006D2088">
        <w:rPr>
          <w:sz w:val="24"/>
          <w:szCs w:val="24"/>
          <w:lang w:val="en-US"/>
        </w:rPr>
        <w:t>representing</w:t>
      </w:r>
      <w:r w:rsidRPr="006D2088">
        <w:rPr>
          <w:sz w:val="24"/>
          <w:szCs w:val="24"/>
          <w:lang w:val="en-US"/>
        </w:rPr>
        <w:t xml:space="preserve"> 25% of the overall public contribution.</w:t>
      </w:r>
    </w:p>
    <w:p w:rsidR="0019333D" w:rsidRDefault="0019333D" w:rsidP="00060CFF">
      <w:pPr>
        <w:spacing w:after="0"/>
        <w:rPr>
          <w:sz w:val="24"/>
          <w:szCs w:val="24"/>
          <w:lang w:val="en-US"/>
        </w:rPr>
      </w:pPr>
    </w:p>
    <w:p w:rsidR="002F7302" w:rsidRPr="006D2088" w:rsidRDefault="002F7302" w:rsidP="00060CFF">
      <w:pPr>
        <w:spacing w:after="0"/>
        <w:rPr>
          <w:sz w:val="24"/>
          <w:szCs w:val="24"/>
          <w:lang w:val="en-US"/>
        </w:rPr>
      </w:pPr>
      <w:r w:rsidRPr="006D2088">
        <w:rPr>
          <w:sz w:val="24"/>
          <w:szCs w:val="24"/>
          <w:lang w:val="en-US"/>
        </w:rPr>
        <w:t xml:space="preserve">The overall indicative budget shall be made available for </w:t>
      </w:r>
      <w:r w:rsidR="0019333D">
        <w:rPr>
          <w:sz w:val="24"/>
          <w:szCs w:val="24"/>
          <w:lang w:val="en-US"/>
        </w:rPr>
        <w:t>all</w:t>
      </w:r>
      <w:r w:rsidRPr="006D2088">
        <w:rPr>
          <w:sz w:val="24"/>
          <w:szCs w:val="24"/>
          <w:lang w:val="en-US"/>
        </w:rPr>
        <w:t xml:space="preserve"> measures as following:</w:t>
      </w:r>
    </w:p>
    <w:p w:rsidR="00060CFF" w:rsidRPr="006D2088" w:rsidRDefault="00060CFF" w:rsidP="00060CFF">
      <w:pPr>
        <w:spacing w:after="0"/>
        <w:rPr>
          <w:sz w:val="24"/>
          <w:szCs w:val="24"/>
          <w:lang w:val="en-US"/>
        </w:rPr>
      </w:pPr>
    </w:p>
    <w:p w:rsidR="002F7302" w:rsidRPr="006D2088" w:rsidRDefault="002F7302" w:rsidP="00761628">
      <w:pPr>
        <w:pStyle w:val="Paragrafoelenco"/>
        <w:spacing w:after="0"/>
        <w:rPr>
          <w:sz w:val="24"/>
          <w:szCs w:val="24"/>
          <w:lang w:val="en-US"/>
        </w:rPr>
      </w:pPr>
      <w:r w:rsidRPr="00761628">
        <w:rPr>
          <w:b/>
          <w:sz w:val="24"/>
          <w:szCs w:val="24"/>
          <w:u w:val="single"/>
          <w:lang w:val="en-US"/>
        </w:rPr>
        <w:t>Meas</w:t>
      </w:r>
      <w:r w:rsidR="006D2088" w:rsidRPr="00761628">
        <w:rPr>
          <w:b/>
          <w:sz w:val="24"/>
          <w:szCs w:val="24"/>
          <w:u w:val="single"/>
          <w:lang w:val="en-US"/>
        </w:rPr>
        <w:t>ure 1</w:t>
      </w:r>
      <w:r w:rsidR="00761628">
        <w:rPr>
          <w:sz w:val="24"/>
          <w:szCs w:val="24"/>
          <w:lang w:val="en-US"/>
        </w:rPr>
        <w:t>:</w:t>
      </w:r>
      <w:r w:rsidR="006D2088">
        <w:rPr>
          <w:sz w:val="24"/>
          <w:szCs w:val="24"/>
          <w:lang w:val="en-US"/>
        </w:rPr>
        <w:t xml:space="preserve"> with total budget of </w:t>
      </w:r>
      <w:r w:rsidR="004D404C">
        <w:rPr>
          <w:sz w:val="24"/>
          <w:szCs w:val="24"/>
          <w:lang w:val="en-US"/>
        </w:rPr>
        <w:t>21.3</w:t>
      </w:r>
      <w:r w:rsidR="00761628">
        <w:rPr>
          <w:sz w:val="24"/>
          <w:szCs w:val="24"/>
          <w:lang w:val="en-US"/>
        </w:rPr>
        <w:t xml:space="preserve"> Million EUR, </w:t>
      </w:r>
      <w:r w:rsidR="00060CFF" w:rsidRPr="006D2088">
        <w:rPr>
          <w:sz w:val="24"/>
          <w:szCs w:val="24"/>
          <w:lang w:val="en-US"/>
        </w:rPr>
        <w:t>with minim</w:t>
      </w:r>
      <w:r w:rsidR="0019333D">
        <w:rPr>
          <w:sz w:val="24"/>
          <w:szCs w:val="24"/>
          <w:lang w:val="en-US"/>
        </w:rPr>
        <w:t xml:space="preserve">um total eligible investment of </w:t>
      </w:r>
      <w:r w:rsidR="00761628">
        <w:rPr>
          <w:sz w:val="24"/>
          <w:szCs w:val="24"/>
          <w:lang w:val="en-US"/>
        </w:rPr>
        <w:t>10 000EURO</w:t>
      </w:r>
      <w:r w:rsidR="00060CFF" w:rsidRPr="006D2088">
        <w:rPr>
          <w:sz w:val="24"/>
          <w:szCs w:val="24"/>
          <w:lang w:val="en-US"/>
        </w:rPr>
        <w:t xml:space="preserve"> and maximum total eligible investment of </w:t>
      </w:r>
      <w:r w:rsidR="00761628">
        <w:rPr>
          <w:sz w:val="24"/>
          <w:szCs w:val="24"/>
          <w:lang w:val="en-US"/>
        </w:rPr>
        <w:t>500</w:t>
      </w:r>
      <w:r w:rsidR="00060CFF" w:rsidRPr="006D2088">
        <w:rPr>
          <w:sz w:val="24"/>
          <w:szCs w:val="24"/>
          <w:lang w:val="en-US"/>
        </w:rPr>
        <w:t xml:space="preserve">000 </w:t>
      </w:r>
      <w:r w:rsidR="00905E54">
        <w:rPr>
          <w:sz w:val="24"/>
          <w:szCs w:val="24"/>
          <w:lang w:val="en-US"/>
        </w:rPr>
        <w:t>EUR</w:t>
      </w:r>
      <w:r w:rsidR="00761628">
        <w:rPr>
          <w:sz w:val="24"/>
          <w:szCs w:val="24"/>
          <w:lang w:val="en-US"/>
        </w:rPr>
        <w:t>.</w:t>
      </w:r>
    </w:p>
    <w:p w:rsidR="002F7302" w:rsidRDefault="002F7302" w:rsidP="00761628">
      <w:pPr>
        <w:pStyle w:val="Paragrafoelenco"/>
        <w:spacing w:after="0"/>
        <w:rPr>
          <w:sz w:val="24"/>
          <w:szCs w:val="24"/>
          <w:lang w:val="en-US"/>
        </w:rPr>
      </w:pPr>
      <w:r w:rsidRPr="00761628">
        <w:rPr>
          <w:b/>
          <w:sz w:val="24"/>
          <w:szCs w:val="24"/>
          <w:u w:val="single"/>
          <w:lang w:val="en-US"/>
        </w:rPr>
        <w:t xml:space="preserve">Measure </w:t>
      </w:r>
      <w:r w:rsidR="00761628" w:rsidRPr="00761628">
        <w:rPr>
          <w:b/>
          <w:sz w:val="24"/>
          <w:szCs w:val="24"/>
          <w:u w:val="single"/>
          <w:lang w:val="en-US"/>
        </w:rPr>
        <w:t>3</w:t>
      </w:r>
      <w:r w:rsidR="00761628" w:rsidRPr="00761628">
        <w:rPr>
          <w:sz w:val="24"/>
          <w:szCs w:val="24"/>
          <w:u w:val="single"/>
          <w:lang w:val="en-US"/>
        </w:rPr>
        <w:t>:</w:t>
      </w:r>
      <w:r w:rsidRPr="006D2088">
        <w:rPr>
          <w:sz w:val="24"/>
          <w:szCs w:val="24"/>
          <w:lang w:val="en-US"/>
        </w:rPr>
        <w:t xml:space="preserve">with total budget of </w:t>
      </w:r>
      <w:r w:rsidR="004D404C">
        <w:rPr>
          <w:sz w:val="24"/>
          <w:szCs w:val="24"/>
          <w:lang w:val="en-US"/>
        </w:rPr>
        <w:t>20.4</w:t>
      </w:r>
      <w:r w:rsidR="00905E54">
        <w:rPr>
          <w:sz w:val="24"/>
          <w:szCs w:val="24"/>
          <w:lang w:val="en-US"/>
        </w:rPr>
        <w:t xml:space="preserve"> Million EUR</w:t>
      </w:r>
      <w:r w:rsidR="00761628">
        <w:rPr>
          <w:sz w:val="24"/>
          <w:szCs w:val="24"/>
          <w:lang w:val="en-US"/>
        </w:rPr>
        <w:t>,</w:t>
      </w:r>
      <w:r w:rsidR="00060CFF" w:rsidRPr="006D2088">
        <w:rPr>
          <w:sz w:val="24"/>
          <w:szCs w:val="24"/>
          <w:lang w:val="en-US"/>
        </w:rPr>
        <w:t xml:space="preserve"> with minimum total eligible investment of </w:t>
      </w:r>
      <w:r w:rsidR="00761628">
        <w:rPr>
          <w:sz w:val="24"/>
          <w:szCs w:val="24"/>
          <w:lang w:val="en-US"/>
        </w:rPr>
        <w:t>25</w:t>
      </w:r>
      <w:r w:rsidR="00060CFF" w:rsidRPr="006D2088">
        <w:rPr>
          <w:sz w:val="24"/>
          <w:szCs w:val="24"/>
          <w:lang w:val="en-US"/>
        </w:rPr>
        <w:t xml:space="preserve">000 </w:t>
      </w:r>
      <w:r w:rsidR="00761628">
        <w:rPr>
          <w:sz w:val="24"/>
          <w:szCs w:val="24"/>
          <w:lang w:val="en-US"/>
        </w:rPr>
        <w:t>EURO</w:t>
      </w:r>
      <w:r w:rsidR="00060CFF" w:rsidRPr="006D2088">
        <w:rPr>
          <w:sz w:val="24"/>
          <w:szCs w:val="24"/>
          <w:lang w:val="en-US"/>
        </w:rPr>
        <w:t xml:space="preserve"> and maximum total eligible investment of </w:t>
      </w:r>
      <w:r w:rsidR="00761628">
        <w:rPr>
          <w:sz w:val="24"/>
          <w:szCs w:val="24"/>
          <w:lang w:val="en-US"/>
        </w:rPr>
        <w:t>2</w:t>
      </w:r>
      <w:r w:rsidR="00060CFF" w:rsidRPr="006D2088">
        <w:rPr>
          <w:sz w:val="24"/>
          <w:szCs w:val="24"/>
          <w:lang w:val="en-US"/>
        </w:rPr>
        <w:t xml:space="preserve">000000 </w:t>
      </w:r>
      <w:r w:rsidR="00905E54">
        <w:rPr>
          <w:sz w:val="24"/>
          <w:szCs w:val="24"/>
          <w:lang w:val="en-US"/>
        </w:rPr>
        <w:t>EUR</w:t>
      </w:r>
      <w:r w:rsidR="00761628">
        <w:rPr>
          <w:sz w:val="24"/>
          <w:szCs w:val="24"/>
          <w:lang w:val="en-US"/>
        </w:rPr>
        <w:t>.</w:t>
      </w:r>
    </w:p>
    <w:p w:rsidR="00761628" w:rsidRDefault="00761628" w:rsidP="00761628">
      <w:pPr>
        <w:pStyle w:val="Paragrafoelenco"/>
        <w:spacing w:after="0"/>
        <w:rPr>
          <w:sz w:val="24"/>
          <w:szCs w:val="24"/>
          <w:lang w:val="en-US"/>
        </w:rPr>
      </w:pPr>
      <w:r w:rsidRPr="00761628">
        <w:rPr>
          <w:b/>
          <w:sz w:val="24"/>
          <w:szCs w:val="24"/>
          <w:u w:val="single"/>
          <w:lang w:val="en-US"/>
        </w:rPr>
        <w:t xml:space="preserve">Measure </w:t>
      </w:r>
      <w:r>
        <w:rPr>
          <w:b/>
          <w:sz w:val="24"/>
          <w:szCs w:val="24"/>
          <w:u w:val="single"/>
          <w:lang w:val="en-US"/>
        </w:rPr>
        <w:t>7</w:t>
      </w:r>
      <w:r w:rsidRPr="00761628">
        <w:rPr>
          <w:sz w:val="24"/>
          <w:szCs w:val="24"/>
          <w:u w:val="single"/>
          <w:lang w:val="en-US"/>
        </w:rPr>
        <w:t>:</w:t>
      </w:r>
      <w:r w:rsidRPr="006D2088">
        <w:rPr>
          <w:sz w:val="24"/>
          <w:szCs w:val="24"/>
          <w:lang w:val="en-US"/>
        </w:rPr>
        <w:t xml:space="preserve">with total budget of </w:t>
      </w:r>
      <w:r w:rsidR="004D404C">
        <w:rPr>
          <w:sz w:val="24"/>
          <w:szCs w:val="24"/>
          <w:lang w:val="en-US"/>
        </w:rPr>
        <w:t>8.3</w:t>
      </w:r>
      <w:r>
        <w:rPr>
          <w:sz w:val="24"/>
          <w:szCs w:val="24"/>
          <w:lang w:val="en-US"/>
        </w:rPr>
        <w:t xml:space="preserve"> Million EUR,</w:t>
      </w:r>
      <w:r w:rsidRPr="006D2088">
        <w:rPr>
          <w:sz w:val="24"/>
          <w:szCs w:val="24"/>
          <w:lang w:val="en-US"/>
        </w:rPr>
        <w:t xml:space="preserve"> with minimum total eligible investment of </w:t>
      </w:r>
      <w:r>
        <w:rPr>
          <w:sz w:val="24"/>
          <w:szCs w:val="24"/>
          <w:lang w:val="en-US"/>
        </w:rPr>
        <w:t>10</w:t>
      </w:r>
      <w:r w:rsidRPr="006D2088">
        <w:rPr>
          <w:sz w:val="24"/>
          <w:szCs w:val="24"/>
          <w:lang w:val="en-US"/>
        </w:rPr>
        <w:t xml:space="preserve">000 </w:t>
      </w:r>
      <w:r w:rsidR="00905E54">
        <w:rPr>
          <w:sz w:val="24"/>
          <w:szCs w:val="24"/>
          <w:lang w:val="en-US"/>
        </w:rPr>
        <w:t>EUR</w:t>
      </w:r>
      <w:r w:rsidRPr="006D2088">
        <w:rPr>
          <w:sz w:val="24"/>
          <w:szCs w:val="24"/>
          <w:lang w:val="en-US"/>
        </w:rPr>
        <w:t xml:space="preserve"> and maximum total eligible investment of </w:t>
      </w:r>
      <w:r>
        <w:rPr>
          <w:sz w:val="24"/>
          <w:szCs w:val="24"/>
          <w:lang w:val="en-US"/>
        </w:rPr>
        <w:t>4</w:t>
      </w:r>
      <w:r w:rsidR="00905E54">
        <w:rPr>
          <w:sz w:val="24"/>
          <w:szCs w:val="24"/>
          <w:lang w:val="en-US"/>
        </w:rPr>
        <w:t xml:space="preserve">00 </w:t>
      </w:r>
      <w:r w:rsidRPr="006D2088">
        <w:rPr>
          <w:sz w:val="24"/>
          <w:szCs w:val="24"/>
          <w:lang w:val="en-US"/>
        </w:rPr>
        <w:t xml:space="preserve">000 </w:t>
      </w:r>
      <w:r w:rsidR="00905E54">
        <w:rPr>
          <w:sz w:val="24"/>
          <w:szCs w:val="24"/>
          <w:lang w:val="en-US"/>
        </w:rPr>
        <w:t>EUR</w:t>
      </w:r>
      <w:r>
        <w:rPr>
          <w:sz w:val="24"/>
          <w:szCs w:val="24"/>
          <w:lang w:val="en-US"/>
        </w:rPr>
        <w:t>.</w:t>
      </w:r>
    </w:p>
    <w:p w:rsidR="00761628" w:rsidRDefault="00761628" w:rsidP="00761628">
      <w:pPr>
        <w:pStyle w:val="Paragrafoelenco"/>
        <w:spacing w:after="0"/>
        <w:rPr>
          <w:sz w:val="24"/>
          <w:szCs w:val="24"/>
          <w:lang w:val="en-US"/>
        </w:rPr>
      </w:pPr>
    </w:p>
    <w:p w:rsidR="002F7302" w:rsidRDefault="002F7302" w:rsidP="00060CFF">
      <w:pPr>
        <w:spacing w:after="0"/>
        <w:rPr>
          <w:sz w:val="24"/>
          <w:szCs w:val="24"/>
          <w:lang w:val="en-US"/>
        </w:rPr>
      </w:pPr>
      <w:r w:rsidRPr="006D2088">
        <w:rPr>
          <w:sz w:val="24"/>
          <w:szCs w:val="24"/>
          <w:lang w:val="en-US"/>
        </w:rPr>
        <w:t xml:space="preserve">All </w:t>
      </w:r>
      <w:r w:rsidR="00977008" w:rsidRPr="006D2088">
        <w:rPr>
          <w:sz w:val="24"/>
          <w:szCs w:val="24"/>
          <w:lang w:val="en-US"/>
        </w:rPr>
        <w:t xml:space="preserve">interested parties can receive the </w:t>
      </w:r>
      <w:r w:rsidRPr="006D2088">
        <w:rPr>
          <w:sz w:val="24"/>
          <w:szCs w:val="24"/>
          <w:lang w:val="en-US"/>
        </w:rPr>
        <w:t xml:space="preserve">necessary information concerning types of eligible investments, eligibility of the applicants, criteria for selection and instructions for </w:t>
      </w:r>
      <w:r w:rsidR="006D2088" w:rsidRPr="006D2088">
        <w:rPr>
          <w:sz w:val="24"/>
          <w:szCs w:val="24"/>
          <w:lang w:val="en-US"/>
        </w:rPr>
        <w:t>submitting</w:t>
      </w:r>
      <w:r w:rsidR="00977008" w:rsidRPr="006D2088">
        <w:rPr>
          <w:sz w:val="24"/>
          <w:szCs w:val="24"/>
          <w:lang w:val="en-US"/>
        </w:rPr>
        <w:t xml:space="preserve"> an applications, </w:t>
      </w:r>
      <w:r w:rsidRPr="006D2088">
        <w:rPr>
          <w:sz w:val="24"/>
          <w:szCs w:val="24"/>
          <w:lang w:val="en-US"/>
        </w:rPr>
        <w:t>in the Guideline for Applicants which can be</w:t>
      </w:r>
      <w:r w:rsidR="00977008" w:rsidRPr="006D2088">
        <w:rPr>
          <w:sz w:val="24"/>
          <w:szCs w:val="24"/>
          <w:lang w:val="en-US"/>
        </w:rPr>
        <w:t xml:space="preserve"> requested as a free sample hardcopy </w:t>
      </w:r>
      <w:r w:rsidRPr="006D2088">
        <w:rPr>
          <w:sz w:val="24"/>
          <w:szCs w:val="24"/>
          <w:lang w:val="en-US"/>
        </w:rPr>
        <w:t>in the main office</w:t>
      </w:r>
      <w:r w:rsidR="00305108" w:rsidRPr="006D2088">
        <w:rPr>
          <w:sz w:val="24"/>
          <w:szCs w:val="24"/>
          <w:lang w:val="en-US"/>
        </w:rPr>
        <w:t>s</w:t>
      </w:r>
      <w:r w:rsidRPr="006D2088">
        <w:rPr>
          <w:sz w:val="24"/>
          <w:szCs w:val="24"/>
          <w:lang w:val="en-US"/>
        </w:rPr>
        <w:t xml:space="preserve"> of the </w:t>
      </w:r>
      <w:r w:rsidR="001E5F40">
        <w:rPr>
          <w:sz w:val="24"/>
          <w:szCs w:val="24"/>
          <w:lang w:val="en-US"/>
        </w:rPr>
        <w:t xml:space="preserve">Ministry for Agriculture </w:t>
      </w:r>
      <w:r w:rsidR="00905E54">
        <w:rPr>
          <w:sz w:val="24"/>
          <w:szCs w:val="24"/>
          <w:lang w:val="en-US"/>
        </w:rPr>
        <w:t xml:space="preserve">and </w:t>
      </w:r>
      <w:r w:rsidR="00905E54" w:rsidRPr="006D2088">
        <w:rPr>
          <w:sz w:val="24"/>
          <w:szCs w:val="24"/>
          <w:lang w:val="en-US"/>
        </w:rPr>
        <w:t>Rural</w:t>
      </w:r>
      <w:r w:rsidR="0019333D">
        <w:rPr>
          <w:sz w:val="24"/>
          <w:szCs w:val="24"/>
          <w:lang w:val="en-US"/>
        </w:rPr>
        <w:t xml:space="preserve"> Development (MARD) and</w:t>
      </w:r>
      <w:r w:rsidRPr="006D2088">
        <w:rPr>
          <w:sz w:val="24"/>
          <w:szCs w:val="24"/>
          <w:lang w:val="en-US"/>
        </w:rPr>
        <w:t>Agriculture and Rural Development Agency</w:t>
      </w:r>
      <w:r w:rsidR="00305108" w:rsidRPr="006D2088">
        <w:rPr>
          <w:sz w:val="24"/>
          <w:szCs w:val="24"/>
          <w:lang w:val="en-US"/>
        </w:rPr>
        <w:t xml:space="preserve"> (ARDA)</w:t>
      </w:r>
      <w:r w:rsidR="00977008" w:rsidRPr="006D2088">
        <w:rPr>
          <w:sz w:val="24"/>
          <w:szCs w:val="24"/>
          <w:lang w:val="en-US"/>
        </w:rPr>
        <w:t>during working hours 08:00-16:30h</w:t>
      </w:r>
      <w:r w:rsidR="00305108" w:rsidRPr="006D2088">
        <w:rPr>
          <w:sz w:val="24"/>
          <w:szCs w:val="24"/>
          <w:lang w:val="en-US"/>
        </w:rPr>
        <w:t>.</w:t>
      </w:r>
    </w:p>
    <w:p w:rsidR="006D2088" w:rsidRPr="001E6732" w:rsidRDefault="006D2088" w:rsidP="00060CFF">
      <w:pPr>
        <w:spacing w:after="0"/>
        <w:rPr>
          <w:sz w:val="24"/>
          <w:szCs w:val="24"/>
        </w:rPr>
      </w:pPr>
    </w:p>
    <w:p w:rsidR="00305108" w:rsidRDefault="00977008" w:rsidP="00060CFF">
      <w:pPr>
        <w:spacing w:after="0"/>
        <w:rPr>
          <w:sz w:val="24"/>
          <w:szCs w:val="24"/>
          <w:lang w:val="en-US"/>
        </w:rPr>
      </w:pPr>
      <w:r w:rsidRPr="006D2088">
        <w:rPr>
          <w:sz w:val="24"/>
          <w:szCs w:val="24"/>
          <w:lang w:val="en-US"/>
        </w:rPr>
        <w:t>Also</w:t>
      </w:r>
      <w:r w:rsidR="00305108" w:rsidRPr="006D2088">
        <w:rPr>
          <w:sz w:val="24"/>
          <w:szCs w:val="24"/>
          <w:lang w:val="en-US"/>
        </w:rPr>
        <w:t>, the G</w:t>
      </w:r>
      <w:r w:rsidRPr="006D2088">
        <w:rPr>
          <w:sz w:val="24"/>
          <w:szCs w:val="24"/>
          <w:lang w:val="en-US"/>
        </w:rPr>
        <w:t>uideline for Applicants can</w:t>
      </w:r>
      <w:r w:rsidR="00305108" w:rsidRPr="006D2088">
        <w:rPr>
          <w:sz w:val="24"/>
          <w:szCs w:val="24"/>
          <w:lang w:val="en-US"/>
        </w:rPr>
        <w:t xml:space="preserve"> be downloaded from the following web sites: </w:t>
      </w:r>
      <w:hyperlink r:id="rId7" w:history="1">
        <w:r w:rsidR="00305108" w:rsidRPr="006D2088">
          <w:rPr>
            <w:rStyle w:val="Collegamentoipertestuale"/>
            <w:sz w:val="24"/>
            <w:szCs w:val="24"/>
            <w:lang w:val="en-US"/>
          </w:rPr>
          <w:t>www.azhbr.gov.al</w:t>
        </w:r>
      </w:hyperlink>
      <w:r w:rsidR="00305108" w:rsidRPr="006D2088">
        <w:rPr>
          <w:sz w:val="24"/>
          <w:szCs w:val="24"/>
          <w:lang w:val="en-US"/>
        </w:rPr>
        <w:t>;</w:t>
      </w:r>
      <w:r w:rsidR="00D279C5">
        <w:t xml:space="preserve">and </w:t>
      </w:r>
      <w:hyperlink r:id="rId8" w:history="1">
        <w:r w:rsidR="0019333D" w:rsidRPr="00316088">
          <w:rPr>
            <w:rStyle w:val="Collegamentoipertestuale"/>
            <w:sz w:val="24"/>
            <w:szCs w:val="24"/>
            <w:lang w:val="en-US"/>
          </w:rPr>
          <w:t>http://www.bujqesia.gov.al/</w:t>
        </w:r>
      </w:hyperlink>
      <w:hyperlink w:history="1"/>
      <w:r w:rsidRPr="006D2088">
        <w:rPr>
          <w:sz w:val="24"/>
          <w:szCs w:val="24"/>
          <w:lang w:val="en-US"/>
        </w:rPr>
        <w:t>a soft version.</w:t>
      </w:r>
    </w:p>
    <w:p w:rsidR="00AF7DE4" w:rsidRDefault="00AF7DE4" w:rsidP="00060CFF">
      <w:pPr>
        <w:spacing w:after="0"/>
        <w:rPr>
          <w:sz w:val="24"/>
          <w:szCs w:val="24"/>
          <w:lang w:val="en-US"/>
        </w:rPr>
      </w:pPr>
    </w:p>
    <w:p w:rsidR="00F304D1" w:rsidRPr="00AF7DE4" w:rsidRDefault="00F304D1" w:rsidP="00060CFF">
      <w:pPr>
        <w:spacing w:after="0"/>
        <w:rPr>
          <w:b/>
          <w:sz w:val="28"/>
          <w:szCs w:val="24"/>
          <w:lang w:val="en-US"/>
        </w:rPr>
      </w:pPr>
      <w:r w:rsidRPr="00AF7DE4">
        <w:rPr>
          <w:b/>
          <w:sz w:val="28"/>
          <w:szCs w:val="24"/>
          <w:lang w:val="en-US"/>
        </w:rPr>
        <w:t xml:space="preserve">This call </w:t>
      </w:r>
      <w:r w:rsidR="00AF7DE4" w:rsidRPr="00AF7DE4">
        <w:rPr>
          <w:b/>
          <w:sz w:val="28"/>
          <w:szCs w:val="24"/>
          <w:lang w:val="en-US"/>
        </w:rPr>
        <w:t>will be opened from the 30</w:t>
      </w:r>
      <w:r w:rsidR="00AF7DE4" w:rsidRPr="00AF7DE4">
        <w:rPr>
          <w:b/>
          <w:sz w:val="28"/>
          <w:szCs w:val="24"/>
          <w:vertAlign w:val="superscript"/>
          <w:lang w:val="en-US"/>
        </w:rPr>
        <w:t>th</w:t>
      </w:r>
      <w:r w:rsidR="00AF7DE4" w:rsidRPr="00AF7DE4">
        <w:rPr>
          <w:b/>
          <w:sz w:val="28"/>
          <w:szCs w:val="24"/>
          <w:lang w:val="en-US"/>
        </w:rPr>
        <w:t xml:space="preserve"> of November 2018</w:t>
      </w:r>
      <w:r w:rsidRPr="00AF7DE4">
        <w:rPr>
          <w:b/>
          <w:sz w:val="28"/>
          <w:szCs w:val="24"/>
          <w:lang w:val="en-US"/>
        </w:rPr>
        <w:t xml:space="preserve"> and shall last for 60 days. The deadline for submission of the application is </w:t>
      </w:r>
      <w:r w:rsidR="00AF7DE4" w:rsidRPr="00AF7DE4">
        <w:rPr>
          <w:b/>
          <w:sz w:val="28"/>
          <w:szCs w:val="24"/>
          <w:lang w:val="en-US"/>
        </w:rPr>
        <w:t>30 December 2018</w:t>
      </w:r>
    </w:p>
    <w:p w:rsidR="00060CFF" w:rsidRPr="00AF7DE4" w:rsidRDefault="00060CFF" w:rsidP="00060CFF">
      <w:pPr>
        <w:spacing w:after="0"/>
        <w:rPr>
          <w:b/>
          <w:sz w:val="24"/>
          <w:szCs w:val="24"/>
          <w:lang w:val="en-US"/>
        </w:rPr>
      </w:pPr>
    </w:p>
    <w:p w:rsidR="00F304D1" w:rsidRPr="00AF7DE4" w:rsidRDefault="00F304D1" w:rsidP="00060CFF">
      <w:pPr>
        <w:spacing w:after="0"/>
        <w:rPr>
          <w:b/>
          <w:sz w:val="24"/>
          <w:szCs w:val="24"/>
          <w:lang w:val="en-US"/>
        </w:rPr>
      </w:pPr>
      <w:r w:rsidRPr="00AF7DE4">
        <w:rPr>
          <w:b/>
          <w:sz w:val="24"/>
          <w:szCs w:val="24"/>
          <w:lang w:val="en-US"/>
        </w:rPr>
        <w:t>Contact details for further inquiries:</w:t>
      </w:r>
    </w:p>
    <w:p w:rsidR="00F304D1" w:rsidRPr="00AF7DE4" w:rsidRDefault="00F304D1" w:rsidP="00060CFF">
      <w:pPr>
        <w:spacing w:after="0"/>
        <w:rPr>
          <w:sz w:val="24"/>
          <w:szCs w:val="24"/>
          <w:lang w:val="de-DE"/>
        </w:rPr>
      </w:pPr>
      <w:r w:rsidRPr="00AF7DE4">
        <w:rPr>
          <w:sz w:val="24"/>
          <w:szCs w:val="24"/>
          <w:lang w:val="de-DE"/>
        </w:rPr>
        <w:t xml:space="preserve">Tel: </w:t>
      </w:r>
      <w:r w:rsidR="00AF7DE4" w:rsidRPr="00AF7DE4">
        <w:rPr>
          <w:sz w:val="24"/>
          <w:szCs w:val="24"/>
          <w:lang w:val="de-DE"/>
        </w:rPr>
        <w:t xml:space="preserve">0800 83 83 </w:t>
      </w:r>
    </w:p>
    <w:p w:rsidR="00F304D1" w:rsidRDefault="00F304D1" w:rsidP="00060CFF">
      <w:pPr>
        <w:spacing w:after="0"/>
        <w:rPr>
          <w:sz w:val="24"/>
          <w:szCs w:val="24"/>
          <w:lang w:val="de-DE"/>
        </w:rPr>
      </w:pPr>
      <w:r w:rsidRPr="00AF7DE4">
        <w:rPr>
          <w:sz w:val="24"/>
          <w:szCs w:val="24"/>
          <w:lang w:val="de-DE"/>
        </w:rPr>
        <w:t xml:space="preserve">Email: </w:t>
      </w:r>
      <w:r w:rsidR="00AF7DE4" w:rsidRPr="00AF7DE4">
        <w:rPr>
          <w:sz w:val="24"/>
          <w:szCs w:val="24"/>
          <w:lang w:val="de-DE"/>
        </w:rPr>
        <w:t>info@azhbr.gov.al</w:t>
      </w:r>
    </w:p>
    <w:p w:rsidR="004D69C3" w:rsidRDefault="004D69C3" w:rsidP="00060CFF">
      <w:pPr>
        <w:spacing w:after="0"/>
        <w:rPr>
          <w:sz w:val="24"/>
          <w:szCs w:val="24"/>
          <w:lang w:val="de-DE"/>
        </w:rPr>
      </w:pPr>
    </w:p>
    <w:sectPr w:rsidR="004D69C3" w:rsidSect="0092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D54"/>
    <w:multiLevelType w:val="hybridMultilevel"/>
    <w:tmpl w:val="ECB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F7581"/>
    <w:multiLevelType w:val="hybridMultilevel"/>
    <w:tmpl w:val="36FA6E24"/>
    <w:lvl w:ilvl="0" w:tplc="4350D3E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576CF"/>
    <w:multiLevelType w:val="hybridMultilevel"/>
    <w:tmpl w:val="73586E9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DB1681"/>
    <w:multiLevelType w:val="hybridMultilevel"/>
    <w:tmpl w:val="BE6A6390"/>
    <w:lvl w:ilvl="0" w:tplc="0820206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C25F8"/>
    <w:multiLevelType w:val="hybridMultilevel"/>
    <w:tmpl w:val="3E9C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D1597"/>
    <w:multiLevelType w:val="hybridMultilevel"/>
    <w:tmpl w:val="9F54E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5516F"/>
    <w:multiLevelType w:val="hybridMultilevel"/>
    <w:tmpl w:val="CCFEB32E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F7302"/>
    <w:rsid w:val="0002076D"/>
    <w:rsid w:val="000450B0"/>
    <w:rsid w:val="00060CFF"/>
    <w:rsid w:val="0009495B"/>
    <w:rsid w:val="0011341C"/>
    <w:rsid w:val="00150419"/>
    <w:rsid w:val="00167029"/>
    <w:rsid w:val="00180C1E"/>
    <w:rsid w:val="0019333D"/>
    <w:rsid w:val="001E5F40"/>
    <w:rsid w:val="002602FB"/>
    <w:rsid w:val="00273A1D"/>
    <w:rsid w:val="00292DFC"/>
    <w:rsid w:val="002B69EC"/>
    <w:rsid w:val="002C4CA9"/>
    <w:rsid w:val="002F7302"/>
    <w:rsid w:val="00302E1D"/>
    <w:rsid w:val="00305108"/>
    <w:rsid w:val="00324A01"/>
    <w:rsid w:val="004239A1"/>
    <w:rsid w:val="004756FA"/>
    <w:rsid w:val="004D404C"/>
    <w:rsid w:val="004D69C3"/>
    <w:rsid w:val="005E54A1"/>
    <w:rsid w:val="005F66D1"/>
    <w:rsid w:val="00601BA6"/>
    <w:rsid w:val="00656AD0"/>
    <w:rsid w:val="006D2088"/>
    <w:rsid w:val="006E02AE"/>
    <w:rsid w:val="00761628"/>
    <w:rsid w:val="00762B1A"/>
    <w:rsid w:val="00900E61"/>
    <w:rsid w:val="00905E54"/>
    <w:rsid w:val="00925863"/>
    <w:rsid w:val="00937163"/>
    <w:rsid w:val="00977008"/>
    <w:rsid w:val="009C3949"/>
    <w:rsid w:val="00A15DFD"/>
    <w:rsid w:val="00A9106A"/>
    <w:rsid w:val="00AA6522"/>
    <w:rsid w:val="00AF7DE4"/>
    <w:rsid w:val="00B238E7"/>
    <w:rsid w:val="00BC5E91"/>
    <w:rsid w:val="00BD1EC0"/>
    <w:rsid w:val="00C651B8"/>
    <w:rsid w:val="00C76816"/>
    <w:rsid w:val="00CD0D82"/>
    <w:rsid w:val="00D15B63"/>
    <w:rsid w:val="00D279C5"/>
    <w:rsid w:val="00D40C7D"/>
    <w:rsid w:val="00D41E51"/>
    <w:rsid w:val="00D54F7C"/>
    <w:rsid w:val="00E0037D"/>
    <w:rsid w:val="00E84142"/>
    <w:rsid w:val="00EB5A5D"/>
    <w:rsid w:val="00F30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302"/>
    <w:pPr>
      <w:spacing w:after="120" w:line="240" w:lineRule="auto"/>
      <w:jc w:val="both"/>
    </w:pPr>
    <w:rPr>
      <w:rFonts w:ascii="Arial" w:eastAsia="Times New Roman" w:hAnsi="Arial" w:cs="Arial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73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30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302"/>
    <w:rPr>
      <w:rFonts w:ascii="Tahoma" w:eastAsia="Times New Roman" w:hAnsi="Tahoma" w:cs="Tahoma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305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jqesia.gov.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hbr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expert1</dc:creator>
  <cp:lastModifiedBy>Patrizia</cp:lastModifiedBy>
  <cp:revision>2</cp:revision>
  <dcterms:created xsi:type="dcterms:W3CDTF">2018-11-16T11:29:00Z</dcterms:created>
  <dcterms:modified xsi:type="dcterms:W3CDTF">2018-11-16T11:29:00Z</dcterms:modified>
</cp:coreProperties>
</file>